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40" w:lineRule="exact"/>
        <w:ind w:firstLine="0" w:firstLineChars="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21</w:t>
      </w:r>
      <w:r>
        <w:rPr>
          <w:rFonts w:ascii="Times New Roman" w:hAnsi="Times New Roman" w:eastAsia="方正小标宋简体"/>
          <w:bCs/>
          <w:sz w:val="36"/>
          <w:szCs w:val="36"/>
        </w:rPr>
        <w:t>年度全国高校思想政治工作骨干示范培训班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第一批次及后续批次培训安排及名额分配表</w:t>
      </w:r>
    </w:p>
    <w:tbl>
      <w:tblPr>
        <w:tblStyle w:val="7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12"/>
        <w:gridCol w:w="4688"/>
        <w:gridCol w:w="2275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pacing w:val="-6"/>
                <w:kern w:val="0"/>
                <w:sz w:val="21"/>
                <w:szCs w:val="21"/>
              </w:rPr>
              <w:t>期数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pacing w:val="-6"/>
                <w:kern w:val="0"/>
                <w:sz w:val="21"/>
                <w:szCs w:val="21"/>
              </w:rPr>
              <w:t>时间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0"/>
                <w:sz w:val="21"/>
                <w:szCs w:val="21"/>
              </w:rPr>
              <w:t>培训专题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kern w:val="0"/>
                <w:sz w:val="21"/>
                <w:szCs w:val="21"/>
                <w:lang w:val="en-US" w:eastAsia="zh-CN" w:bidi="ar-SA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284期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4月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加强红色文化资源在高校党史教育中的应用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延安大学中心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285期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“四史”教育融入高校日常思政工作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南开大学中心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286期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习近平总书记关于中国共产党历史重要论述解读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东北师范大学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287期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推动高校宣传思想工作守正创新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  <w:t>西南大学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288期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加强新形势下高校统战工作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  <w:t>西北</w:t>
            </w: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</w:rPr>
              <w:t>师范大学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289期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加强高校教师队伍思想政治建设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河南师范大学中心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290期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善用“大思政课”与制度自信教育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湖南师范大学中心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291期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高校网络文化作品创作与成果评价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电子科技大学中心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292期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高校思想政治工作质量提升与治理现代化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  <w:t>中南大学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293期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大数据与大学生思想政治教育创新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安徽师范大学中心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294期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高校基层党组织政治功能提升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南京师范大学中心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295期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心理育人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能力提升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  <w:t>贵州大学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296期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高校思政工作体系的阶段进展与能力要求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中山大学中心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297期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高校学生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党员发展工作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</w:rPr>
              <w:t>师范大学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299期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大学生生涯规划与就业指导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南宁师范大学中心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300期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实践育人方法创新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浙江大学中心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301期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疫情防控常态化情况下的心理健康教育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西南交通大学中心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302期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加强基层组织工作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四川大学中心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303期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心理育人的方法与路径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扬州大学中心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307期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468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“一站式”学生社区建设和管理</w:t>
            </w:r>
          </w:p>
        </w:tc>
        <w:tc>
          <w:tcPr>
            <w:tcW w:w="22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西安交通大学中心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310期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提高少数民族学生思想政治教育工作实效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</w:rPr>
              <w:t>新疆大学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311期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468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少数民族辅导员队伍专业化建设</w:t>
            </w:r>
          </w:p>
        </w:tc>
        <w:tc>
          <w:tcPr>
            <w:tcW w:w="22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新疆师范大学中心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312期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9月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新媒体时代高校网络育人的理论与实践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福建师范大学中心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313期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高校安全稳定工作培训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山东大学中心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314期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高校意识形态风险研判与应对工作专题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华中师范大学中心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316期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高校党建工作质量提升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</w:rPr>
              <w:t>北京师范大学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321期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学生权益保护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华南师范大学中心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323期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4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高校思政工作队伍科研意识培养与科研能力提升</w:t>
            </w:r>
          </w:p>
        </w:tc>
        <w:tc>
          <w:tcPr>
            <w:tcW w:w="2275" w:type="dxa"/>
            <w:vAlign w:val="top"/>
          </w:tcPr>
          <w:p>
            <w:pPr>
              <w:spacing w:line="520" w:lineRule="exact"/>
              <w:ind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河北师范大学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324期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优秀传统文化与思想政治教育创新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广西师范大学中心</w:t>
            </w:r>
          </w:p>
        </w:tc>
        <w:tc>
          <w:tcPr>
            <w:tcW w:w="710" w:type="dxa"/>
            <w:vAlign w:val="top"/>
          </w:tcPr>
          <w:p>
            <w:pPr>
              <w:spacing w:line="520" w:lineRule="exact"/>
              <w:ind w:right="85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325期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“大思政”格局中高校思政队伍职业能力提升</w:t>
            </w:r>
          </w:p>
        </w:tc>
        <w:tc>
          <w:tcPr>
            <w:tcW w:w="2275" w:type="dxa"/>
            <w:vAlign w:val="top"/>
          </w:tcPr>
          <w:p>
            <w:pPr>
              <w:spacing w:line="520" w:lineRule="exact"/>
              <w:ind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哈尔滨师范大学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top"/>
          </w:tcPr>
          <w:p>
            <w:pPr>
              <w:spacing w:line="520" w:lineRule="exact"/>
              <w:ind w:right="85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326期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11月</w:t>
            </w:r>
          </w:p>
        </w:tc>
        <w:tc>
          <w:tcPr>
            <w:tcW w:w="4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高校党史资源挖掘与理想信念教育常态化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复旦大学中心</w:t>
            </w:r>
          </w:p>
        </w:tc>
        <w:tc>
          <w:tcPr>
            <w:tcW w:w="710" w:type="dxa"/>
            <w:vAlign w:val="top"/>
          </w:tcPr>
          <w:p>
            <w:pPr>
              <w:spacing w:line="520" w:lineRule="exact"/>
              <w:ind w:right="85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327期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加强和改进民办高校党建工作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275" w:type="dxa"/>
            <w:vAlign w:val="center"/>
          </w:tcPr>
          <w:p>
            <w:pPr>
              <w:spacing w:line="520" w:lineRule="exact"/>
              <w:ind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陕西师范大学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spacing w:line="520" w:lineRule="exact"/>
              <w:ind w:right="85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328期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4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高校思想政治工作精品项目培育与推广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275" w:type="dxa"/>
            <w:vAlign w:val="center"/>
          </w:tcPr>
          <w:p>
            <w:pPr>
              <w:spacing w:line="520" w:lineRule="exact"/>
              <w:ind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北京科技大学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710" w:type="dxa"/>
            <w:vAlign w:val="center"/>
          </w:tcPr>
          <w:p>
            <w:pPr>
              <w:spacing w:line="520" w:lineRule="exact"/>
              <w:ind w:right="85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kern w:val="0"/>
                <w:sz w:val="21"/>
                <w:szCs w:val="21"/>
                <w:lang w:val="en-US" w:eastAsia="zh-CN" w:bidi="ar-SA"/>
              </w:rPr>
              <w:t>暂定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5"/>
        <w:jc w:val="left"/>
        <w:textAlignment w:val="auto"/>
        <w:rPr>
          <w:rFonts w:hint="eastAsia" w:ascii="仿宋_GB2312" w:hAnsi="宋体" w:eastAsia="仿宋_GB2312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5"/>
        <w:jc w:val="left"/>
        <w:textAlignment w:val="auto"/>
        <w:rPr>
          <w:rFonts w:hint="eastAsia" w:ascii="仿宋_GB2312" w:hAnsi="宋体" w:eastAsia="仿宋_GB2312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4"/>
          <w:szCs w:val="24"/>
          <w:lang w:val="en-US" w:eastAsia="zh-CN" w:bidi="ar-SA"/>
        </w:rPr>
        <w:t>注：1.高校“中心”为高校思想政治工作队伍培训研修中心。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5" w:firstLine="480" w:firstLineChars="200"/>
        <w:jc w:val="left"/>
        <w:textAlignment w:val="auto"/>
        <w:rPr>
          <w:rFonts w:hint="default" w:ascii="仿宋_GB2312" w:hAnsi="宋体" w:eastAsia="仿宋_GB2312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4"/>
          <w:szCs w:val="24"/>
          <w:lang w:val="en-US" w:eastAsia="zh-CN" w:bidi="ar-SA"/>
        </w:rPr>
        <w:t>2.带“</w:t>
      </w:r>
      <w:r>
        <w:rPr>
          <w:rFonts w:hint="eastAsia" w:eastAsia="仿宋_GB2312"/>
          <w:color w:val="000000"/>
          <w:sz w:val="28"/>
          <w:szCs w:val="28"/>
          <w:shd w:val="clear" w:color="auto" w:fill="FFFFFF"/>
        </w:rPr>
        <w:t>*</w:t>
      </w:r>
      <w:r>
        <w:rPr>
          <w:rFonts w:hint="eastAsia" w:ascii="仿宋_GB2312" w:hAnsi="宋体" w:eastAsia="仿宋_GB2312" w:cstheme="minorBidi"/>
          <w:kern w:val="2"/>
          <w:sz w:val="24"/>
          <w:szCs w:val="24"/>
          <w:lang w:val="en-US" w:eastAsia="zh-CN" w:bidi="ar-SA"/>
        </w:rPr>
        <w:t>”专题培训班的参训对象暂定，现不予申报。</w:t>
      </w:r>
      <w:bookmarkStart w:id="0" w:name="_GoBack"/>
      <w:bookmarkEnd w:id="0"/>
    </w:p>
    <w:p>
      <w:pPr>
        <w:widowControl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25E5"/>
    <w:rsid w:val="0BC11C73"/>
    <w:rsid w:val="0C8E5ADF"/>
    <w:rsid w:val="0DDA49A9"/>
    <w:rsid w:val="16C711C7"/>
    <w:rsid w:val="17A801B9"/>
    <w:rsid w:val="18042999"/>
    <w:rsid w:val="21F63DC4"/>
    <w:rsid w:val="234850C2"/>
    <w:rsid w:val="284A279C"/>
    <w:rsid w:val="321E444C"/>
    <w:rsid w:val="367B6B24"/>
    <w:rsid w:val="3BB16AFD"/>
    <w:rsid w:val="44021E89"/>
    <w:rsid w:val="486E43A6"/>
    <w:rsid w:val="4D5110B1"/>
    <w:rsid w:val="4E116DF2"/>
    <w:rsid w:val="51313A20"/>
    <w:rsid w:val="56201468"/>
    <w:rsid w:val="5DE03154"/>
    <w:rsid w:val="64083F78"/>
    <w:rsid w:val="6A4C73E7"/>
    <w:rsid w:val="72C82090"/>
    <w:rsid w:val="74CC5F92"/>
    <w:rsid w:val="758F6E80"/>
    <w:rsid w:val="7ACA7A81"/>
    <w:rsid w:val="7B73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仿宋_GB2312" w:hAnsi="宋体" w:eastAsia="仿宋_GB2312" w:cstheme="minorBidi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2021-04-08T01:30:00Z</dcterms:created>
  <dc:creator>wangxuejunw</dc:creator>
  <cp:lastModifiedBy>Administrator</cp:lastModifiedBy>
  <dcterms:modified xsi:type="dcterms:W3CDTF">2021-04-16T03:44:32Z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87BDB77E3F664D6A91D42F551AF7D743</vt:lpwstr>
  </property>
</Properties>
</file>